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5673CA" w:rsidR="00A77598" w:rsidRPr="0016095C" w:rsidRDefault="001609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47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729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0513848" w:rsidR="004475DA" w:rsidRPr="0016095C" w:rsidRDefault="001609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AC6A5A7" w:rsidR="004475DA" w:rsidRPr="0016095C" w:rsidRDefault="001609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4A48F64" w:rsidR="0092300D" w:rsidRPr="0016095C" w:rsidRDefault="001609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281BCB0" w:rsidR="0092300D" w:rsidRPr="0016095C" w:rsidRDefault="001609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2F3956C" w:rsidR="0092300D" w:rsidRPr="0016095C" w:rsidRDefault="0016095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DA90014" w:rsidR="0092300D" w:rsidRPr="0016095C" w:rsidRDefault="001609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CFACF2" w:rsidR="004475DA" w:rsidRPr="0016095C" w:rsidRDefault="001609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53661E" w14:textId="5E0CBBE0" w:rsidR="00F447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19729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_Toc202519729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3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2C8161B8" w14:textId="2CABA96B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0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_Toc202519730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3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7A8E9AFE" w14:textId="60B0DDB6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1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_Toc202519731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3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4BDD0998" w14:textId="6F529666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2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_Toc202519732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4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79C5E7DA" w14:textId="43767189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3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_Toc202519733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6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385C9C05" w14:textId="14DEF6DD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4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_Toc202519734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6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53DA2F2D" w14:textId="52839DFF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5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_Toc202519735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7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7450B67F" w14:textId="1F710430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6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_Toc202519736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7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57762E94" w14:textId="27938ADB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7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_Toc202519737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8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6BE5DB20" w14:textId="6D05B63A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8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_Toc202519738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9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6C144206" w14:textId="44577D22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39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_Toc202519739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10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6035D37E" w14:textId="6B67CA05" w:rsidR="00F44729" w:rsidRDefault="00B51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40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_Toc202519740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11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0BFF7799" w14:textId="41853D4F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41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_Toc202519741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11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629BCE7E" w14:textId="3DD34108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42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_Toc202519742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11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0E4DB488" w14:textId="318A2A8F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43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_Toc202519743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11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56138971" w14:textId="68B6C0AF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44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_Toc202519744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11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468C8B31" w14:textId="2E0A7264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45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_Toc202519745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11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18C4BA29" w14:textId="7799BD4F" w:rsidR="00F44729" w:rsidRDefault="00B51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46" w:history="1">
            <w:r w:rsidR="00F44729" w:rsidRPr="000F59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4729">
              <w:rPr>
                <w:noProof/>
                <w:webHidden/>
              </w:rPr>
              <w:tab/>
            </w:r>
            <w:r w:rsidR="00F44729">
              <w:rPr>
                <w:noProof/>
                <w:webHidden/>
              </w:rPr>
              <w:fldChar w:fldCharType="begin"/>
            </w:r>
            <w:r w:rsidR="00F44729">
              <w:rPr>
                <w:noProof/>
                <w:webHidden/>
              </w:rPr>
              <w:instrText xml:space="preserve"> PAGEREF _Toc202519746 \h </w:instrText>
            </w:r>
            <w:r w:rsidR="00F44729">
              <w:rPr>
                <w:noProof/>
                <w:webHidden/>
              </w:rPr>
            </w:r>
            <w:r w:rsidR="00F44729">
              <w:rPr>
                <w:noProof/>
                <w:webHidden/>
              </w:rPr>
              <w:fldChar w:fldCharType="separate"/>
            </w:r>
            <w:r w:rsidR="00F44729">
              <w:rPr>
                <w:noProof/>
                <w:webHidden/>
              </w:rPr>
              <w:t>11</w:t>
            </w:r>
            <w:r w:rsidR="00F44729">
              <w:rPr>
                <w:noProof/>
                <w:webHidden/>
              </w:rPr>
              <w:fldChar w:fldCharType="end"/>
            </w:r>
          </w:hyperlink>
        </w:p>
        <w:p w14:paraId="0DD49713" w14:textId="69E6122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2519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знаний, умений и навыков, необходимых для успешной организации и управления сервисными процессами с учетом принципов устойчивого развития, применения современных методов и инструментов для создания и оптимизации сервисных процессов с учетом экологических, социальных и экономических аспектов; развитие у обучающихся понимания важности обеспечения баланса между потребностями сегодняшнего поколения и сохранением ресурсов для будущих поколений, а также умения интегрировать концепции устойчивого развития в стратегию сервисной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2519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Устойчивое развитие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2519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F447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47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447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47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47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47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447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447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47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ОПК-1 - Способен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47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lang w:bidi="ru-RU"/>
              </w:rPr>
              <w:t>ОПК-1.3 - Знает и умеет использовать технологические новации и современное программное обеспечение в сервисной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47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4729">
              <w:rPr>
                <w:rFonts w:ascii="Times New Roman" w:hAnsi="Times New Roman" w:cs="Times New Roman"/>
              </w:rPr>
              <w:t>Обладает глубоким пониманием технологических новаций и современного программного обеспечения, а также их применения в сфере сервиса</w:t>
            </w:r>
            <w:r w:rsidRPr="00F447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47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4729">
              <w:rPr>
                <w:rFonts w:ascii="Times New Roman" w:hAnsi="Times New Roman" w:cs="Times New Roman"/>
              </w:rPr>
              <w:t>Обосновать необходимость и возможность применения технологических новаций и программного обеспечения для оптимизации сервисной деятельности организации</w:t>
            </w:r>
            <w:r w:rsidRPr="00F447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47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4729">
              <w:rPr>
                <w:rFonts w:ascii="Times New Roman" w:hAnsi="Times New Roman" w:cs="Times New Roman"/>
              </w:rPr>
              <w:t>Обладает навыками успешного использования технологических новаций и современного программного обеспечения в сервисной деятельности, способствуя повышению эффективности и качества обслуживания</w:t>
            </w:r>
            <w:r w:rsidRPr="00F4472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44729" w14:paraId="22B32D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998DD" w14:textId="77777777" w:rsidR="00751095" w:rsidRPr="00F447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A39CB" w14:textId="77777777" w:rsidR="00751095" w:rsidRPr="00F447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lang w:bidi="ru-RU"/>
              </w:rPr>
              <w:t>ОПК-3.2 - Обеспечивает требуемое качество процессов оказания услуг в сервисе в соответствии с международными и национальными стандартами; обеспечивает оказание услуг в соответствии с заявленным качеством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7F39F" w14:textId="77777777" w:rsidR="00751095" w:rsidRPr="00F447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4729">
              <w:rPr>
                <w:rFonts w:ascii="Times New Roman" w:hAnsi="Times New Roman" w:cs="Times New Roman"/>
              </w:rPr>
              <w:t>Обладает пониманием международных и национальных стандартов качества в сфере сервиса, а также требований к оказанию услуг с учетом заявленного качества.</w:t>
            </w:r>
            <w:r w:rsidRPr="00F44729">
              <w:rPr>
                <w:rFonts w:ascii="Times New Roman" w:hAnsi="Times New Roman" w:cs="Times New Roman"/>
              </w:rPr>
              <w:t xml:space="preserve"> </w:t>
            </w:r>
          </w:p>
          <w:p w14:paraId="0849CA32" w14:textId="77777777" w:rsidR="00751095" w:rsidRPr="00F447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4729">
              <w:rPr>
                <w:rFonts w:ascii="Times New Roman" w:hAnsi="Times New Roman" w:cs="Times New Roman"/>
              </w:rPr>
              <w:t>Обосновать решения в области планирования, контроля и коррекции процессов оказания услуг в соответствии с регулятивными требованиями и стандартами качества</w:t>
            </w:r>
            <w:r w:rsidRPr="00F44729">
              <w:rPr>
                <w:rFonts w:ascii="Times New Roman" w:hAnsi="Times New Roman" w:cs="Times New Roman"/>
              </w:rPr>
              <w:t xml:space="preserve">. </w:t>
            </w:r>
          </w:p>
          <w:p w14:paraId="11DE92D2" w14:textId="77777777" w:rsidR="00751095" w:rsidRPr="00F447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4729">
              <w:rPr>
                <w:rFonts w:ascii="Times New Roman" w:hAnsi="Times New Roman" w:cs="Times New Roman"/>
              </w:rPr>
              <w:t>Владеет навыками, обеспечивающими высокое качество процессов оказания услуг в сервисе, следуя установленным стандартам и требованиям, что позволяет гарантировать выполнение заявленного уровня качества услуг</w:t>
            </w:r>
            <w:r w:rsidRPr="00F4472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44729" w14:paraId="5D1577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BFFD7" w14:textId="77777777" w:rsidR="00751095" w:rsidRPr="00F447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 xml:space="preserve">ПК-7 - Способен учитывать современные </w:t>
            </w:r>
            <w:r w:rsidRPr="00F44729">
              <w:rPr>
                <w:rFonts w:ascii="Times New Roman" w:hAnsi="Times New Roman" w:cs="Times New Roman"/>
                <w:lang w:val="en-US"/>
              </w:rPr>
              <w:t>ESG</w:t>
            </w:r>
            <w:r w:rsidRPr="00F44729">
              <w:rPr>
                <w:rFonts w:ascii="Times New Roman" w:hAnsi="Times New Roman" w:cs="Times New Roman"/>
              </w:rPr>
              <w:t xml:space="preserve">-принципы и ресурсосберегающие технологии при проектировании </w:t>
            </w:r>
            <w:proofErr w:type="spellStart"/>
            <w:r w:rsidRPr="00F4472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F44729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CB92" w14:textId="77777777" w:rsidR="00751095" w:rsidRPr="00F447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lang w:bidi="ru-RU"/>
              </w:rPr>
              <w:t xml:space="preserve">ПК-7.1 - Применяет </w:t>
            </w:r>
            <w:r w:rsidRPr="00F44729">
              <w:rPr>
                <w:rFonts w:ascii="Times New Roman" w:hAnsi="Times New Roman" w:cs="Times New Roman"/>
                <w:lang w:val="en-US" w:bidi="ru-RU"/>
              </w:rPr>
              <w:t>ESG</w:t>
            </w:r>
            <w:r w:rsidRPr="00F44729">
              <w:rPr>
                <w:rFonts w:ascii="Times New Roman" w:hAnsi="Times New Roman" w:cs="Times New Roman"/>
                <w:lang w:bidi="ru-RU"/>
              </w:rPr>
              <w:t xml:space="preserve">-принципы при организации и проведении мероприятий в сфере </w:t>
            </w:r>
            <w:proofErr w:type="spellStart"/>
            <w:r w:rsidRPr="00F44729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F44729">
              <w:rPr>
                <w:rFonts w:ascii="Times New Roman" w:hAnsi="Times New Roman" w:cs="Times New Roman"/>
                <w:lang w:bidi="ru-RU"/>
              </w:rPr>
              <w:t>-выставочных и событийных услуг, тем самым способствуя повышению лояльности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89288" w14:textId="77777777" w:rsidR="00751095" w:rsidRPr="00F447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4729">
              <w:rPr>
                <w:rFonts w:ascii="Times New Roman" w:hAnsi="Times New Roman" w:cs="Times New Roman"/>
              </w:rPr>
              <w:t xml:space="preserve">Принципы </w:t>
            </w:r>
            <w:r w:rsidR="00316402" w:rsidRPr="00F44729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44729">
              <w:rPr>
                <w:rFonts w:ascii="Times New Roman" w:hAnsi="Times New Roman" w:cs="Times New Roman"/>
              </w:rPr>
              <w:t xml:space="preserve"> (</w:t>
            </w:r>
            <w:r w:rsidR="00316402" w:rsidRPr="00F44729">
              <w:rPr>
                <w:rFonts w:ascii="Times New Roman" w:hAnsi="Times New Roman" w:cs="Times New Roman"/>
                <w:lang w:val="en-US"/>
              </w:rPr>
              <w:t>Environmental</w:t>
            </w:r>
            <w:r w:rsidR="00316402" w:rsidRPr="00F44729">
              <w:rPr>
                <w:rFonts w:ascii="Times New Roman" w:hAnsi="Times New Roman" w:cs="Times New Roman"/>
              </w:rPr>
              <w:t xml:space="preserve">, </w:t>
            </w:r>
            <w:r w:rsidR="00316402" w:rsidRPr="00F44729">
              <w:rPr>
                <w:rFonts w:ascii="Times New Roman" w:hAnsi="Times New Roman" w:cs="Times New Roman"/>
                <w:lang w:val="en-US"/>
              </w:rPr>
              <w:t>Social</w:t>
            </w:r>
            <w:r w:rsidR="00316402" w:rsidRPr="00F44729">
              <w:rPr>
                <w:rFonts w:ascii="Times New Roman" w:hAnsi="Times New Roman" w:cs="Times New Roman"/>
              </w:rPr>
              <w:t xml:space="preserve">, </w:t>
            </w:r>
            <w:r w:rsidR="00316402" w:rsidRPr="00F44729">
              <w:rPr>
                <w:rFonts w:ascii="Times New Roman" w:hAnsi="Times New Roman" w:cs="Times New Roman"/>
                <w:lang w:val="en-US"/>
              </w:rPr>
              <w:t>Governance</w:t>
            </w:r>
            <w:r w:rsidR="00316402" w:rsidRPr="00F44729">
              <w:rPr>
                <w:rFonts w:ascii="Times New Roman" w:hAnsi="Times New Roman" w:cs="Times New Roman"/>
              </w:rPr>
              <w:t xml:space="preserve">) и их значение для устойчивого бизнеса; основы ресурсосберегающих технологий и их применение в организации мероприятий; законодательство и стандарты в области учета </w:t>
            </w:r>
            <w:r w:rsidR="00316402" w:rsidRPr="00F44729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44729">
              <w:rPr>
                <w:rFonts w:ascii="Times New Roman" w:hAnsi="Times New Roman" w:cs="Times New Roman"/>
              </w:rPr>
              <w:t>-показателей.</w:t>
            </w:r>
            <w:r w:rsidRPr="00F44729">
              <w:rPr>
                <w:rFonts w:ascii="Times New Roman" w:hAnsi="Times New Roman" w:cs="Times New Roman"/>
              </w:rPr>
              <w:t xml:space="preserve"> </w:t>
            </w:r>
          </w:p>
          <w:p w14:paraId="3DEA33DD" w14:textId="77777777" w:rsidR="00751095" w:rsidRPr="00F447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4729">
              <w:rPr>
                <w:rFonts w:ascii="Times New Roman" w:hAnsi="Times New Roman" w:cs="Times New Roman"/>
              </w:rPr>
              <w:t xml:space="preserve">Интегрировать </w:t>
            </w:r>
            <w:r w:rsidR="00FD518F" w:rsidRPr="00F44729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44729">
              <w:rPr>
                <w:rFonts w:ascii="Times New Roman" w:hAnsi="Times New Roman" w:cs="Times New Roman"/>
              </w:rPr>
              <w:t>-принципы в стратегию и практику организации мероприятий; осуществлять анализ влияния мероприятий на окружающую среду и общество; разрабатывать планы действий по снижению негативного воздействия на окружающую среду при проведении мероприятий</w:t>
            </w:r>
            <w:proofErr w:type="gramStart"/>
            <w:r w:rsidR="00FD518F" w:rsidRPr="00F44729">
              <w:rPr>
                <w:rFonts w:ascii="Times New Roman" w:hAnsi="Times New Roman" w:cs="Times New Roman"/>
              </w:rPr>
              <w:t>.</w:t>
            </w:r>
            <w:r w:rsidRPr="00F447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D47190" w14:textId="77777777" w:rsidR="00751095" w:rsidRPr="00F447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4729">
              <w:rPr>
                <w:rFonts w:ascii="Times New Roman" w:hAnsi="Times New Roman" w:cs="Times New Roman"/>
              </w:rPr>
              <w:t xml:space="preserve">Навыками организации мероприятий с использованием ресурсосберегающих технологий; навыками оценки эффективности мероприятий с точки зрения соответствия </w:t>
            </w:r>
            <w:r w:rsidR="00FD518F" w:rsidRPr="00F44729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44729">
              <w:rPr>
                <w:rFonts w:ascii="Times New Roman" w:hAnsi="Times New Roman" w:cs="Times New Roman"/>
              </w:rPr>
              <w:t xml:space="preserve">-принципам; умением </w:t>
            </w:r>
            <w:proofErr w:type="spellStart"/>
            <w:r w:rsidR="00FD518F" w:rsidRPr="00F44729">
              <w:rPr>
                <w:rFonts w:ascii="Times New Roman" w:hAnsi="Times New Roman" w:cs="Times New Roman"/>
              </w:rPr>
              <w:t>коммуницировать</w:t>
            </w:r>
            <w:proofErr w:type="spellEnd"/>
            <w:r w:rsidR="00FD518F" w:rsidRPr="00F44729">
              <w:rPr>
                <w:rFonts w:ascii="Times New Roman" w:hAnsi="Times New Roman" w:cs="Times New Roman"/>
              </w:rPr>
              <w:t xml:space="preserve"> с заинтересованными сторонами для повышения их лояльности через участие в устойчивых событиях.</w:t>
            </w:r>
            <w:r w:rsidRPr="00F447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47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25197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Глобальные проблемы современности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глобальных проблем. Источники глобальных проблем. Исторически первая глобальная проблема. Основные глобальные проблемы. Роль демографического фактора в обострении глобальных проблем. Изменение климата. Экологические проблемы. Социальное неравенство. Миграция и беженцы. Демографические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F1CEE11" w:rsidR="004475DA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BF15008" w:rsidR="004475DA" w:rsidRPr="00352B6F" w:rsidRDefault="001609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095C" w:rsidRPr="005B37A7" w14:paraId="73633E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9E1ECB" w14:textId="77777777" w:rsidR="0016095C" w:rsidRPr="00352B6F" w:rsidRDefault="001609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устойчивого развития: сущность, принципы, методология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00287" w14:textId="77777777" w:rsidR="0016095C" w:rsidRPr="00352B6F" w:rsidRDefault="001609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Появление понятия устойчивое развитие. Начало процесса осознания кризиса и поиска путей выхода из него. Истоки понятия «устойчивое развитие».  Естественнонаучный подход к устойчивости развития в экологическом аспекте. Направления анализа устойчивого развития. Проблемы при переходе к устойчивому развитию. Концепция устойчивого развития. Одобрение мирового сообщества принципа устойчивого развития. Анализ современного состояния проблемы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DB209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3D791" w14:textId="5D9DCF89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19669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437F3" w14:textId="7DE495F6" w:rsidR="0016095C" w:rsidRPr="00352B6F" w:rsidRDefault="001609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095C" w:rsidRPr="005B37A7" w14:paraId="472917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53D540" w14:textId="77777777" w:rsidR="0016095C" w:rsidRPr="00352B6F" w:rsidRDefault="001609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Индикаторы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8E0ED" w14:textId="77777777" w:rsidR="0016095C" w:rsidRPr="00352B6F" w:rsidRDefault="001609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разработки новых показателей развития. Подходы к определению индикаторов устойчивого развития. Для чего нужны индикаторы устойчивого развития. Интегральные индикаторы устойчивого развития. Структура индекса человеческого развития ООН. Системы индикаторов устойчивого развития. Понятие и общая характеристика зеленой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9B46B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B6249" w14:textId="38E8520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65632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5A78A" w14:textId="42188309" w:rsidR="0016095C" w:rsidRPr="00352B6F" w:rsidRDefault="001609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095C" w:rsidRPr="005B37A7" w14:paraId="0EA816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4BAF3" w14:textId="77777777" w:rsidR="0016095C" w:rsidRPr="00352B6F" w:rsidRDefault="001609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Бизнес и устойчивое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4AAF6" w14:textId="77777777" w:rsidR="0016095C" w:rsidRPr="00352B6F" w:rsidRDefault="001609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бизнеса в реализации стратегии устойчивого развития. Факторы эволюции отношения бизнеса к стратегии</w:t>
            </w:r>
            <w:r w:rsidRPr="00352B6F">
              <w:rPr>
                <w:lang w:bidi="ru-RU"/>
              </w:rPr>
              <w:br/>
              <w:t>устойчивого развития. Международные организации предпринимателей за устойчивое развитие. Корпоративная социальная ответственность. Добровольные инструменты экологической и социальной политики компаний. Международные и национальные стандарты качества в сфере сервиса, оказание услуг с учетом заявленного качества с учётом целей и задач устойчивого развития. Гринвошинг (зеленое отмывание).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F590F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88F69" w14:textId="45F1EE7C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926577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B7A84" w14:textId="1A597841" w:rsidR="0016095C" w:rsidRPr="00352B6F" w:rsidRDefault="001609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095C" w:rsidRPr="005B37A7" w14:paraId="51F0FE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6487C" w14:textId="77777777" w:rsidR="0016095C" w:rsidRPr="00352B6F" w:rsidRDefault="001609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Концепция ESG для сервисных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C7A367" w14:textId="77777777" w:rsidR="0016095C" w:rsidRPr="00352B6F" w:rsidRDefault="001609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управления устойчивым развитием. Три основных компонента концепции ESG: Environmental (экологические), Social (социальные) и Governance (управленческие) аспекты. Принципы и критерии концепции управления ESG. SDG - цели устойчивого развития. Значение принципов ESG для современных компаний. Роль регуляторов и стандартизаторов в области ESG. Оценка и управление ESG-факторами для компаний. Методы оценки и управления ESG-факторами. Разработка стратегий устойчивого развития и внедрение соответствующих практик для сервисной компании. Мониторинг и анализ результатов устойчивого развития для принятия управленческих решений. Интегрирование ESG-принципов в стратегию и практику организации мероприятий. Анализ влияния мероприятий на окружающую среду и общество. Снижение негативного воздействия на окружающую среду при проведении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45E8A" w14:textId="32D7EE80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BAFD9" w14:textId="3644E426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5D7E5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851A5" w14:textId="1DA8DF6E" w:rsidR="0016095C" w:rsidRPr="00352B6F" w:rsidRDefault="001609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095C" w:rsidRPr="005B37A7" w14:paraId="121CB2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18E36" w14:textId="77777777" w:rsidR="0016095C" w:rsidRPr="00352B6F" w:rsidRDefault="001609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6. Устойчивое развитие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96930" w14:textId="77777777" w:rsidR="0016095C" w:rsidRPr="00352B6F" w:rsidRDefault="001609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сервисной деятельности в контексте устойчивого развития. Национальные стратегии устойчивого развития. Значение сочетания финансовой успешности и социальной ответственности для сервисных предприятий. Интеграция принципов ESG в корпоративную стратегию сервисной компании. Необходимость изменения внутренней культуры компании, преодоление инерции и выработка новых стратегий и бизнес-процессов. Вклад сервисной деятельности в экономическое развитие и создание рабочих мест. Экологические аспекты сервисных услуг и их влияние на окружающую среду. Оценка и уменьшение воздействия сервисной деятельности на природные ресурсы. Принципы зеленого сервиса и возможности внедрения экологически устойчивых практик.</w:t>
            </w:r>
            <w:r w:rsidRPr="00352B6F">
              <w:rPr>
                <w:lang w:bidi="ru-RU"/>
              </w:rPr>
              <w:br/>
              <w:t>Корпоративная социальная ответственность (CSR) в сфере сервисной деятельности. Вовлечение сотрудников и общества в процессы устойчивого развития. Развитие социально ответственных сервисных инициатив и программ. Методы оценки устойчивости сервисных предприятий. Роль цифровизации и новаторских технологий в повышении устойчивости сервисной деятельности. Примеры лучших практик использования современных технологий для устойчивого развития сервисных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5196C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D2CE8" w14:textId="4953FC23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0B6F9" w14:textId="77777777" w:rsidR="0016095C" w:rsidRPr="00352B6F" w:rsidRDefault="001609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81724" w14:textId="79C7E586" w:rsidR="0016095C" w:rsidRPr="00352B6F" w:rsidRDefault="001609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F83EA67" w:rsidR="00CA7DE7" w:rsidRPr="00352B6F" w:rsidRDefault="001609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B0D3281" w:rsidR="00CA7DE7" w:rsidRPr="00352B6F" w:rsidRDefault="001609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423D370" w:rsidR="00CA7DE7" w:rsidRPr="00352B6F" w:rsidRDefault="001609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1973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19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8"/>
        <w:gridCol w:w="37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6095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447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Горфинкель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;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Горфинкеля,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Родионовой.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490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51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F44729">
                <w:rPr>
                  <w:color w:val="00008B"/>
                  <w:u w:val="single"/>
                  <w:lang w:val="en-US"/>
                </w:rPr>
                <w:t>https://urait.ru/viewer/korpor ... a-otvetstvennost-536046#page/1</w:t>
              </w:r>
            </w:hyperlink>
          </w:p>
        </w:tc>
      </w:tr>
      <w:tr w:rsidR="00262CF0" w:rsidRPr="0016095C" w14:paraId="12F606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EA1445" w14:textId="77777777" w:rsidR="00262CF0" w:rsidRPr="00F447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Валько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Основы циркулярной экономики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Валько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104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88012" w14:textId="77777777" w:rsidR="00262CF0" w:rsidRPr="007E6725" w:rsidRDefault="00B51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F44729">
                <w:rPr>
                  <w:color w:val="00008B"/>
                  <w:u w:val="single"/>
                  <w:lang w:val="en-US"/>
                </w:rPr>
                <w:t>https://urait.ru/viewer/osnovy ... yarnoy-ekonomiki-545276#page/1</w:t>
              </w:r>
            </w:hyperlink>
          </w:p>
        </w:tc>
      </w:tr>
      <w:tr w:rsidR="00262CF0" w:rsidRPr="0016095C" w14:paraId="33F272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6B40BE" w14:textId="77777777" w:rsidR="00262CF0" w:rsidRPr="00F447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конгрессно-выставочной деятельности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248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9F7258" w14:textId="77777777" w:rsidR="00262CF0" w:rsidRPr="007E6725" w:rsidRDefault="00B51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F44729">
                <w:rPr>
                  <w:color w:val="00008B"/>
                  <w:u w:val="single"/>
                  <w:lang w:val="en-US"/>
                </w:rPr>
                <w:t>https://urait.ru/viewer/ekonom ... noy-deyatelnosti-544032#page/1</w:t>
              </w:r>
            </w:hyperlink>
          </w:p>
        </w:tc>
      </w:tr>
      <w:tr w:rsidR="00262CF0" w:rsidRPr="007E6725" w14:paraId="202502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0F80D8" w14:textId="77777777" w:rsidR="00262CF0" w:rsidRPr="00F447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Стратегии устойчивого развития: экономические, юридические и социальные аспекты</w:t>
            </w:r>
            <w:proofErr w:type="gram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В. Минаков, Л. Н. Иванова, В. А.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Боровкова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Э. В. Фомина. — Чебоксары</w:t>
            </w:r>
            <w:proofErr w:type="gram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, 2023.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CEC9EB" w14:textId="77777777" w:rsidR="00262CF0" w:rsidRPr="00F44729" w:rsidRDefault="00B51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https://reader.lanbook.com/book/351110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19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EC0094" w14:textId="77777777" w:rsidTr="007B550D">
        <w:tc>
          <w:tcPr>
            <w:tcW w:w="9345" w:type="dxa"/>
          </w:tcPr>
          <w:p w14:paraId="46CF89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E9B3E4" w14:textId="77777777" w:rsidTr="007B550D">
        <w:tc>
          <w:tcPr>
            <w:tcW w:w="9345" w:type="dxa"/>
          </w:tcPr>
          <w:p w14:paraId="52DEE4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D2EA20" w14:textId="77777777" w:rsidTr="007B550D">
        <w:tc>
          <w:tcPr>
            <w:tcW w:w="9345" w:type="dxa"/>
          </w:tcPr>
          <w:p w14:paraId="5FA722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A0BA91" w14:textId="77777777" w:rsidTr="007B550D">
        <w:tc>
          <w:tcPr>
            <w:tcW w:w="9345" w:type="dxa"/>
          </w:tcPr>
          <w:p w14:paraId="1B6CA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19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14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19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48"/>
        <w:gridCol w:w="2311"/>
      </w:tblGrid>
      <w:tr w:rsidR="002C735C" w:rsidRPr="00F44729" w14:paraId="53424330" w14:textId="77777777" w:rsidTr="00F44729">
        <w:tc>
          <w:tcPr>
            <w:tcW w:w="7748" w:type="dxa"/>
            <w:shd w:val="clear" w:color="auto" w:fill="auto"/>
          </w:tcPr>
          <w:p w14:paraId="2986F8BC" w14:textId="77777777" w:rsidR="002C735C" w:rsidRPr="00F447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47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A00FEF8" w14:textId="77777777" w:rsidR="002C735C" w:rsidRPr="00F447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47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4729" w14:paraId="3B643305" w14:textId="77777777" w:rsidTr="00F44729">
        <w:tc>
          <w:tcPr>
            <w:tcW w:w="7748" w:type="dxa"/>
            <w:shd w:val="clear" w:color="auto" w:fill="auto"/>
          </w:tcPr>
          <w:p w14:paraId="30187323" w14:textId="51649087" w:rsidR="002C735C" w:rsidRPr="00F447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47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472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447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x</w:t>
            </w:r>
            <w:r w:rsidRPr="00F44729">
              <w:rPr>
                <w:sz w:val="22"/>
                <w:szCs w:val="22"/>
              </w:rPr>
              <w:t xml:space="preserve"> 400 - 1 шт., Коммутатор </w:t>
            </w:r>
            <w:r w:rsidRPr="00F44729">
              <w:rPr>
                <w:sz w:val="22"/>
                <w:szCs w:val="22"/>
                <w:lang w:val="en-US"/>
              </w:rPr>
              <w:t>Kramer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V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P</w:t>
            </w:r>
            <w:r w:rsidRPr="00F44729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44729">
              <w:rPr>
                <w:sz w:val="22"/>
                <w:szCs w:val="22"/>
                <w:lang w:val="en-US"/>
              </w:rPr>
              <w:t>HP</w:t>
            </w:r>
            <w:r w:rsidRPr="00F44729">
              <w:rPr>
                <w:sz w:val="22"/>
                <w:szCs w:val="22"/>
              </w:rPr>
              <w:t xml:space="preserve"> 250 </w:t>
            </w:r>
            <w:r w:rsidRPr="00F44729">
              <w:rPr>
                <w:sz w:val="22"/>
                <w:szCs w:val="22"/>
                <w:lang w:val="en-US"/>
              </w:rPr>
              <w:t>G</w:t>
            </w:r>
            <w:r w:rsidRPr="00F44729">
              <w:rPr>
                <w:sz w:val="22"/>
                <w:szCs w:val="22"/>
              </w:rPr>
              <w:t>6 1</w:t>
            </w:r>
            <w:r w:rsidRPr="00F44729">
              <w:rPr>
                <w:sz w:val="22"/>
                <w:szCs w:val="22"/>
                <w:lang w:val="en-US"/>
              </w:rPr>
              <w:t>WY</w:t>
            </w:r>
            <w:r w:rsidRPr="00F44729">
              <w:rPr>
                <w:sz w:val="22"/>
                <w:szCs w:val="22"/>
              </w:rPr>
              <w:t>58</w:t>
            </w:r>
            <w:r w:rsidRPr="00F44729">
              <w:rPr>
                <w:sz w:val="22"/>
                <w:szCs w:val="22"/>
                <w:lang w:val="en-US"/>
              </w:rPr>
              <w:t>EA</w:t>
            </w:r>
            <w:r w:rsidRPr="00F44729">
              <w:rPr>
                <w:sz w:val="22"/>
                <w:szCs w:val="22"/>
              </w:rPr>
              <w:t xml:space="preserve">, Мультимедийный проектор </w:t>
            </w:r>
            <w:r w:rsidRPr="00F44729">
              <w:rPr>
                <w:sz w:val="22"/>
                <w:szCs w:val="22"/>
                <w:lang w:val="en-US"/>
              </w:rPr>
              <w:t>LG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PF</w:t>
            </w:r>
            <w:r w:rsidRPr="00F44729">
              <w:rPr>
                <w:sz w:val="22"/>
                <w:szCs w:val="22"/>
              </w:rPr>
              <w:t>1500</w:t>
            </w:r>
            <w:r w:rsidRPr="00F44729">
              <w:rPr>
                <w:sz w:val="22"/>
                <w:szCs w:val="22"/>
                <w:lang w:val="en-US"/>
              </w:rPr>
              <w:t>G</w:t>
            </w:r>
            <w:r w:rsidRPr="00F447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3505D25E" w14:textId="5D1F0636" w:rsidR="002C735C" w:rsidRPr="00F447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447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4729" w14:paraId="4C6198B1" w14:textId="77777777" w:rsidTr="00F44729">
        <w:tc>
          <w:tcPr>
            <w:tcW w:w="7748" w:type="dxa"/>
            <w:shd w:val="clear" w:color="auto" w:fill="auto"/>
          </w:tcPr>
          <w:p w14:paraId="230FBF51" w14:textId="77777777" w:rsidR="002C735C" w:rsidRPr="00F447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47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472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F44729">
              <w:rPr>
                <w:sz w:val="22"/>
                <w:szCs w:val="22"/>
                <w:lang w:val="en-US"/>
              </w:rPr>
              <w:t>I</w:t>
            </w:r>
            <w:r w:rsidRPr="00F44729">
              <w:rPr>
                <w:sz w:val="22"/>
                <w:szCs w:val="22"/>
              </w:rPr>
              <w:t>5-7400/8</w:t>
            </w:r>
            <w:r w:rsidRPr="00F44729">
              <w:rPr>
                <w:sz w:val="22"/>
                <w:szCs w:val="22"/>
                <w:lang w:val="en-US"/>
              </w:rPr>
              <w:t>Gb</w:t>
            </w:r>
            <w:r w:rsidRPr="00F44729">
              <w:rPr>
                <w:sz w:val="22"/>
                <w:szCs w:val="22"/>
              </w:rPr>
              <w:t>/1</w:t>
            </w:r>
            <w:r w:rsidRPr="00F44729">
              <w:rPr>
                <w:sz w:val="22"/>
                <w:szCs w:val="22"/>
                <w:lang w:val="en-US"/>
              </w:rPr>
              <w:t>Tb</w:t>
            </w:r>
            <w:r w:rsidRPr="00F44729">
              <w:rPr>
                <w:sz w:val="22"/>
                <w:szCs w:val="22"/>
              </w:rPr>
              <w:t xml:space="preserve">/ </w:t>
            </w:r>
            <w:r w:rsidRPr="00F44729">
              <w:rPr>
                <w:sz w:val="22"/>
                <w:szCs w:val="22"/>
                <w:lang w:val="en-US"/>
              </w:rPr>
              <w:t>DELL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S</w:t>
            </w:r>
            <w:r w:rsidRPr="00F44729">
              <w:rPr>
                <w:sz w:val="22"/>
                <w:szCs w:val="22"/>
              </w:rPr>
              <w:t>2218</w:t>
            </w:r>
            <w:r w:rsidRPr="00F44729">
              <w:rPr>
                <w:sz w:val="22"/>
                <w:szCs w:val="22"/>
                <w:lang w:val="en-US"/>
              </w:rPr>
              <w:t>H</w:t>
            </w:r>
            <w:r w:rsidRPr="00F4472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2E2B40CC" w14:textId="77777777" w:rsidR="002C735C" w:rsidRPr="00F447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44729">
              <w:rPr>
                <w:sz w:val="22"/>
                <w:szCs w:val="22"/>
                <w:lang w:val="en-US"/>
              </w:rPr>
              <w:t>А</w:t>
            </w:r>
          </w:p>
        </w:tc>
      </w:tr>
      <w:tr w:rsidR="00F44729" w14:paraId="5AF778C5" w14:textId="77777777" w:rsidTr="00F44729">
        <w:tc>
          <w:tcPr>
            <w:tcW w:w="7748" w:type="dxa"/>
            <w:hideMark/>
          </w:tcPr>
          <w:p w14:paraId="5747AAD3" w14:textId="77777777" w:rsidR="00F44729" w:rsidRPr="00F44729" w:rsidRDefault="00F44729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47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4729">
              <w:rPr>
                <w:sz w:val="22"/>
                <w:szCs w:val="22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proofErr w:type="spellStart"/>
            <w:r w:rsidRPr="00F44729">
              <w:rPr>
                <w:sz w:val="22"/>
                <w:szCs w:val="22"/>
              </w:rPr>
              <w:t>Intel</w:t>
            </w:r>
            <w:proofErr w:type="spellEnd"/>
            <w:r w:rsidRPr="00F44729">
              <w:rPr>
                <w:sz w:val="22"/>
                <w:szCs w:val="22"/>
              </w:rPr>
              <w:t xml:space="preserve"> </w:t>
            </w:r>
            <w:proofErr w:type="spellStart"/>
            <w:r w:rsidRPr="00F44729">
              <w:rPr>
                <w:sz w:val="22"/>
                <w:szCs w:val="22"/>
              </w:rPr>
              <w:t>Core</w:t>
            </w:r>
            <w:proofErr w:type="spellEnd"/>
            <w:r w:rsidRPr="00F44729">
              <w:rPr>
                <w:sz w:val="22"/>
                <w:szCs w:val="22"/>
              </w:rPr>
              <w:t xml:space="preserve"> i5-3570 </w:t>
            </w:r>
            <w:proofErr w:type="spellStart"/>
            <w:r w:rsidRPr="00F44729">
              <w:rPr>
                <w:sz w:val="22"/>
                <w:szCs w:val="22"/>
              </w:rPr>
              <w:t>Sigabyte</w:t>
            </w:r>
            <w:proofErr w:type="spellEnd"/>
            <w:r w:rsidRPr="00F44729">
              <w:rPr>
                <w:sz w:val="22"/>
                <w:szCs w:val="22"/>
              </w:rPr>
              <w:t xml:space="preserve"> GA-H77M - 1 шт., Проектор NEC NP-M403X - 1 шт., Экран DRAPER BARONET 175/234 - 1 шт., Усилитель JPA-1120А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hideMark/>
          </w:tcPr>
          <w:p w14:paraId="737141D5" w14:textId="77777777" w:rsidR="00F44729" w:rsidRPr="00F44729" w:rsidRDefault="00F44729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>190005, г. Санкт-Петербург, 7-я Красноармейская ул., д. 6-8, пом. 21Н, 26Н, 15Н-19Н, Л-3, Л-4, Л-5, лит. 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197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19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19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19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4729" w14:paraId="4410877A" w14:textId="77777777" w:rsidTr="00F44729">
        <w:tc>
          <w:tcPr>
            <w:tcW w:w="562" w:type="dxa"/>
          </w:tcPr>
          <w:p w14:paraId="2E4A3A70" w14:textId="77777777" w:rsidR="00F44729" w:rsidRPr="0016095C" w:rsidRDefault="00F447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B0A756" w14:textId="77777777" w:rsidR="00F44729" w:rsidRDefault="00F447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19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447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47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19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447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4729" w14:paraId="5A1C9382" w14:textId="77777777" w:rsidTr="00801458">
        <w:tc>
          <w:tcPr>
            <w:tcW w:w="2336" w:type="dxa"/>
          </w:tcPr>
          <w:p w14:paraId="4C518DAB" w14:textId="77777777" w:rsidR="005D65A5" w:rsidRPr="00F447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47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47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47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4729" w14:paraId="07658034" w14:textId="77777777" w:rsidTr="00801458">
        <w:tc>
          <w:tcPr>
            <w:tcW w:w="2336" w:type="dxa"/>
          </w:tcPr>
          <w:p w14:paraId="1553D698" w14:textId="78F29BFB" w:rsidR="005D65A5" w:rsidRPr="00F447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44729" w14:paraId="318F6E2A" w14:textId="77777777" w:rsidTr="00801458">
        <w:tc>
          <w:tcPr>
            <w:tcW w:w="2336" w:type="dxa"/>
          </w:tcPr>
          <w:p w14:paraId="572B9C2F" w14:textId="77777777" w:rsidR="005D65A5" w:rsidRPr="00F447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13A7C4" w14:textId="77777777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017EB3C" w14:textId="77777777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A83F40" w14:textId="77777777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44729" w14:paraId="6A72A5BD" w14:textId="77777777" w:rsidTr="00801458">
        <w:tc>
          <w:tcPr>
            <w:tcW w:w="2336" w:type="dxa"/>
          </w:tcPr>
          <w:p w14:paraId="66821B05" w14:textId="77777777" w:rsidR="005D65A5" w:rsidRPr="00F447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537FE3" w14:textId="77777777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5DDE9D" w14:textId="77777777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31FAE2" w14:textId="77777777" w:rsidR="005D65A5" w:rsidRPr="00F44729" w:rsidRDefault="007478E0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447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47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19744"/>
      <w:r w:rsidRPr="00F447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EB326D7" w:rsidR="00C23E7F" w:rsidRPr="00F4472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4729" w:rsidRPr="00F44729" w14:paraId="52016B05" w14:textId="77777777" w:rsidTr="00F44729">
        <w:tc>
          <w:tcPr>
            <w:tcW w:w="562" w:type="dxa"/>
          </w:tcPr>
          <w:p w14:paraId="55F977B3" w14:textId="77777777" w:rsidR="00F44729" w:rsidRPr="00F44729" w:rsidRDefault="00F447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71E23F" w14:textId="77777777" w:rsidR="00F44729" w:rsidRPr="00F44729" w:rsidRDefault="00F447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47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E60A48" w14:textId="77777777" w:rsidR="00F44729" w:rsidRPr="00F44729" w:rsidRDefault="00F447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47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19745"/>
      <w:r w:rsidRPr="00F447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447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4729" w14:paraId="0267C479" w14:textId="77777777" w:rsidTr="00801458">
        <w:tc>
          <w:tcPr>
            <w:tcW w:w="2500" w:type="pct"/>
          </w:tcPr>
          <w:p w14:paraId="37F699C9" w14:textId="77777777" w:rsidR="00B8237E" w:rsidRPr="00F447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47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4729" w14:paraId="3F240151" w14:textId="77777777" w:rsidTr="00801458">
        <w:tc>
          <w:tcPr>
            <w:tcW w:w="2500" w:type="pct"/>
          </w:tcPr>
          <w:p w14:paraId="61E91592" w14:textId="61A0874C" w:rsidR="00B8237E" w:rsidRPr="00F447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44729" w:rsidRDefault="005C548A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44729" w14:paraId="07F64452" w14:textId="77777777" w:rsidTr="00801458">
        <w:tc>
          <w:tcPr>
            <w:tcW w:w="2500" w:type="pct"/>
          </w:tcPr>
          <w:p w14:paraId="4B4D2464" w14:textId="77777777" w:rsidR="00B8237E" w:rsidRPr="00F44729" w:rsidRDefault="00B8237E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79FD46" w14:textId="77777777" w:rsidR="00B8237E" w:rsidRPr="00F44729" w:rsidRDefault="005C548A" w:rsidP="00801458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447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19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D2BF7" w14:textId="77777777" w:rsidR="00B5143B" w:rsidRDefault="00B5143B" w:rsidP="00315CA6">
      <w:pPr>
        <w:spacing w:after="0" w:line="240" w:lineRule="auto"/>
      </w:pPr>
      <w:r>
        <w:separator/>
      </w:r>
    </w:p>
  </w:endnote>
  <w:endnote w:type="continuationSeparator" w:id="0">
    <w:p w14:paraId="742B5B29" w14:textId="77777777" w:rsidR="00B5143B" w:rsidRDefault="00B514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AC194D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95C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F23F7" w14:textId="77777777" w:rsidR="00B5143B" w:rsidRDefault="00B5143B" w:rsidP="00315CA6">
      <w:pPr>
        <w:spacing w:after="0" w:line="240" w:lineRule="auto"/>
      </w:pPr>
      <w:r>
        <w:separator/>
      </w:r>
    </w:p>
  </w:footnote>
  <w:footnote w:type="continuationSeparator" w:id="0">
    <w:p w14:paraId="62FB7AD9" w14:textId="77777777" w:rsidR="00B5143B" w:rsidRDefault="00B514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95C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43B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11D7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72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cirkulyarnoy-ekonomiki-54527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korporativnaya-socialnaya-otvetstvennost-53604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reader.lanbook.com/book/3511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a-kongressno-vystavochnoy-deyatelnosti-5440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E22094-56C8-47B4-8B42-E305025E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3550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